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B1C86">
      <w:pPr>
        <w:tabs>
          <w:tab w:val="right" w:leader="dot" w:pos="8295"/>
        </w:tabs>
        <w:jc w:val="center"/>
        <w:rPr>
          <w:rFonts w:ascii="宋体"/>
          <w:color w:val="auto"/>
          <w:sz w:val="32"/>
          <w:szCs w:val="32"/>
          <w:highlight w:val="none"/>
        </w:rPr>
      </w:pPr>
    </w:p>
    <w:p w14:paraId="3B6C9B3E">
      <w:pPr>
        <w:tabs>
          <w:tab w:val="right" w:leader="dot" w:pos="8295"/>
        </w:tabs>
        <w:jc w:val="center"/>
        <w:rPr>
          <w:rFonts w:hint="eastAsia" w:ascii="宋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/>
          <w:color w:val="auto"/>
          <w:sz w:val="36"/>
          <w:szCs w:val="36"/>
          <w:highlight w:val="none"/>
        </w:rPr>
        <w:t>巨化集团有限公司危化安全生产救援队伍设备更新项目  标段三</w:t>
      </w:r>
      <w:r>
        <w:rPr>
          <w:rFonts w:hint="eastAsia" w:ascii="宋体"/>
          <w:color w:val="auto"/>
          <w:sz w:val="36"/>
          <w:szCs w:val="36"/>
          <w:highlight w:val="none"/>
          <w:lang w:val="en-US" w:eastAsia="zh-CN"/>
        </w:rPr>
        <w:t>招标文件澄清补充公告</w:t>
      </w:r>
    </w:p>
    <w:p w14:paraId="686EC54A">
      <w:pPr>
        <w:tabs>
          <w:tab w:val="right" w:leader="dot" w:pos="8295"/>
        </w:tabs>
        <w:jc w:val="both"/>
        <w:rPr>
          <w:rFonts w:hint="default" w:ascii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/>
          <w:color w:val="auto"/>
          <w:sz w:val="24"/>
          <w:szCs w:val="24"/>
          <w:highlight w:val="none"/>
          <w:lang w:val="en-US" w:eastAsia="zh-CN"/>
        </w:rPr>
        <w:t>各潜在投标人：</w:t>
      </w:r>
    </w:p>
    <w:p w14:paraId="71094658">
      <w:pPr>
        <w:pStyle w:val="3"/>
        <w:adjustRightInd w:val="0"/>
        <w:snapToGrid w:val="0"/>
        <w:spacing w:before="0" w:after="0" w:line="360" w:lineRule="auto"/>
        <w:rPr>
          <w:rFonts w:hint="default" w:ascii="宋体" w:eastAsia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/>
          <w:color w:val="auto"/>
          <w:sz w:val="24"/>
          <w:szCs w:val="24"/>
          <w:highlight w:val="none"/>
          <w:lang w:val="en-US" w:eastAsia="zh-CN"/>
        </w:rPr>
        <w:t>1、</w:t>
      </w:r>
      <w:bookmarkStart w:id="0" w:name="_Toc151893105"/>
      <w:r>
        <w:rPr>
          <w:rFonts w:hint="eastAsia" w:ascii="宋体"/>
          <w:b/>
          <w:sz w:val="28"/>
          <w:szCs w:val="28"/>
        </w:rPr>
        <w:t>三、投标文件的编制</w:t>
      </w:r>
      <w:bookmarkEnd w:id="0"/>
      <w:r>
        <w:rPr>
          <w:rFonts w:hint="eastAsia" w:ascii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/>
          <w:b/>
          <w:sz w:val="24"/>
        </w:rPr>
        <w:t>（三）投标报价</w:t>
      </w:r>
      <w:r>
        <w:rPr>
          <w:rFonts w:hint="eastAsia" w:ascii="宋体"/>
          <w:b/>
          <w:sz w:val="24"/>
          <w:lang w:val="en-US" w:eastAsia="zh-CN"/>
        </w:rPr>
        <w:t xml:space="preserve"> </w:t>
      </w:r>
      <w:r>
        <w:rPr>
          <w:rFonts w:hint="eastAsia"/>
          <w:b w:val="0"/>
          <w:bCs/>
          <w:sz w:val="24"/>
          <w:lang w:val="en-US" w:eastAsia="zh-CN"/>
        </w:rPr>
        <w:t>“</w:t>
      </w:r>
      <w:r>
        <w:rPr>
          <w:rFonts w:hint="eastAsia" w:ascii="宋体"/>
          <w:b/>
          <w:sz w:val="24"/>
          <w:lang w:val="en-US" w:eastAsia="zh-CN"/>
        </w:rPr>
        <w:t xml:space="preserve"> </w:t>
      </w:r>
      <w:r>
        <w:rPr>
          <w:rFonts w:hint="eastAsia"/>
        </w:rPr>
        <w:t>4.投标报价包括但不限于货款、标准附件、备品备件、包装、运输、装卸、车辆运输保险、税金（含购置税）、安装、调试、培训等一切费用。</w:t>
      </w:r>
      <w:r>
        <w:rPr>
          <w:rFonts w:hint="eastAsia"/>
          <w:b w:val="0"/>
          <w:bCs/>
          <w:sz w:val="24"/>
          <w:lang w:val="en-US" w:eastAsia="zh-CN"/>
        </w:rPr>
        <w:t>”</w:t>
      </w:r>
      <w:r>
        <w:rPr>
          <w:rFonts w:hint="eastAsia"/>
          <w:lang w:val="en-US" w:eastAsia="zh-CN"/>
        </w:rPr>
        <w:t>调整为“改为投标报价包括但不限于货款、标准附件、备品备件、包装、运输、装卸、车辆运输保险、税金、安装、调试、培训等一切费用。”</w:t>
      </w:r>
      <w:bookmarkStart w:id="1" w:name="_GoBack"/>
      <w:bookmarkEnd w:id="1"/>
    </w:p>
    <w:p w14:paraId="35C2F7BF">
      <w:pPr>
        <w:tabs>
          <w:tab w:val="right" w:leader="dot" w:pos="8295"/>
        </w:tabs>
        <w:jc w:val="both"/>
        <w:rPr>
          <w:rFonts w:hint="eastAsia" w:ascii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/>
          <w:color w:val="auto"/>
          <w:sz w:val="24"/>
          <w:szCs w:val="24"/>
          <w:highlight w:val="none"/>
          <w:lang w:val="en-US" w:eastAsia="zh-CN"/>
        </w:rPr>
        <w:t>2、投标文件递交截止时间和开标时间调整为2025年12月5日 9时00分。</w:t>
      </w:r>
    </w:p>
    <w:p w14:paraId="4AAED065">
      <w:pPr>
        <w:tabs>
          <w:tab w:val="right" w:leader="dot" w:pos="8295"/>
        </w:tabs>
        <w:jc w:val="both"/>
        <w:rPr>
          <w:rFonts w:hint="default" w:ascii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/>
          <w:color w:val="auto"/>
          <w:sz w:val="24"/>
          <w:szCs w:val="24"/>
          <w:highlight w:val="none"/>
          <w:lang w:val="en-US" w:eastAsia="zh-CN"/>
        </w:rPr>
        <w:t>3、其余未涉及内容按原招标文件执行。</w:t>
      </w:r>
    </w:p>
    <w:p w14:paraId="7F2F52FF">
      <w:pPr>
        <w:numPr>
          <w:ilvl w:val="0"/>
          <w:numId w:val="0"/>
        </w:numPr>
        <w:jc w:val="both"/>
        <w:rPr>
          <w:rFonts w:hint="eastAsia" w:ascii="宋体" w:cs="宋体"/>
          <w:color w:val="auto"/>
          <w:highlight w:val="none"/>
          <w:lang w:val="en-US" w:eastAsia="zh-CN"/>
        </w:rPr>
      </w:pPr>
    </w:p>
    <w:p w14:paraId="1D795B8A">
      <w:pPr>
        <w:numPr>
          <w:ilvl w:val="0"/>
          <w:numId w:val="0"/>
        </w:numPr>
        <w:jc w:val="both"/>
        <w:rPr>
          <w:rFonts w:hint="eastAsia" w:ascii="宋体" w:cs="宋体"/>
          <w:color w:val="auto"/>
          <w:highlight w:val="none"/>
          <w:lang w:val="en-US" w:eastAsia="zh-CN"/>
        </w:rPr>
      </w:pPr>
    </w:p>
    <w:p w14:paraId="1CE66F51">
      <w:pPr>
        <w:numPr>
          <w:ilvl w:val="0"/>
          <w:numId w:val="0"/>
        </w:numPr>
        <w:jc w:val="both"/>
        <w:rPr>
          <w:rFonts w:hint="eastAsia" w:ascii="宋体" w:cs="宋体"/>
          <w:color w:val="auto"/>
          <w:highlight w:val="none"/>
          <w:lang w:val="en-US" w:eastAsia="zh-CN"/>
        </w:rPr>
      </w:pPr>
    </w:p>
    <w:p w14:paraId="2B1BED32">
      <w:pPr>
        <w:numPr>
          <w:ilvl w:val="0"/>
          <w:numId w:val="0"/>
        </w:numPr>
        <w:jc w:val="both"/>
        <w:rPr>
          <w:rFonts w:hint="default" w:ascii="宋体" w:cs="宋体"/>
          <w:color w:val="auto"/>
          <w:highlight w:val="none"/>
          <w:lang w:val="en-US" w:eastAsia="zh-CN"/>
        </w:rPr>
      </w:pPr>
    </w:p>
    <w:tbl>
      <w:tblPr>
        <w:tblStyle w:val="4"/>
        <w:tblpPr w:leftFromText="180" w:rightFromText="180" w:vertAnchor="text" w:horzAnchor="page" w:tblpX="6045" w:tblpY="250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0"/>
      </w:tblGrid>
      <w:tr w14:paraId="5E510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87486">
            <w:pPr>
              <w:jc w:val="distribute"/>
              <w:rPr>
                <w:rFonts w:ascii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/>
                <w:b/>
                <w:color w:val="auto"/>
                <w:sz w:val="21"/>
                <w:szCs w:val="21"/>
                <w:highlight w:val="none"/>
              </w:rPr>
              <w:t>巨化集团有限公司保卫部</w:t>
            </w:r>
          </w:p>
        </w:tc>
      </w:tr>
      <w:tr w14:paraId="6AE42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</w:tcPr>
          <w:p w14:paraId="20DB9133">
            <w:pPr>
              <w:jc w:val="distribute"/>
              <w:rPr>
                <w:rFonts w:ascii="宋体"/>
                <w:b/>
                <w:color w:val="auto"/>
                <w:sz w:val="21"/>
                <w:szCs w:val="16"/>
                <w:highlight w:val="none"/>
              </w:rPr>
            </w:pPr>
            <w:r>
              <w:rPr>
                <w:rFonts w:hint="eastAsia" w:ascii="宋体"/>
                <w:b/>
                <w:color w:val="auto"/>
                <w:sz w:val="21"/>
                <w:szCs w:val="21"/>
                <w:highlight w:val="none"/>
              </w:rPr>
              <w:t>浙江南方工程咨询管理有限公司</w:t>
            </w:r>
          </w:p>
        </w:tc>
      </w:tr>
      <w:tr w14:paraId="6D1A2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</w:tcPr>
          <w:p w14:paraId="03277C9C">
            <w:pPr>
              <w:jc w:val="distribute"/>
              <w:rPr>
                <w:rFonts w:ascii="宋体"/>
                <w:b/>
                <w:color w:val="auto"/>
                <w:sz w:val="21"/>
                <w:szCs w:val="21"/>
                <w:highlight w:val="none"/>
              </w:rPr>
            </w:pPr>
          </w:p>
        </w:tc>
      </w:tr>
    </w:tbl>
    <w:p w14:paraId="6B97126F">
      <w:pPr>
        <w:numPr>
          <w:ilvl w:val="0"/>
          <w:numId w:val="0"/>
        </w:numPr>
        <w:jc w:val="both"/>
        <w:rPr>
          <w:rFonts w:hint="eastAsia" w:ascii="宋体" w:cs="宋体"/>
          <w:color w:val="auto"/>
          <w:highlight w:val="none"/>
          <w:lang w:val="en-US" w:eastAsia="zh-CN"/>
        </w:rPr>
      </w:pPr>
    </w:p>
    <w:p w14:paraId="4FC168F4">
      <w:pPr>
        <w:numPr>
          <w:ilvl w:val="0"/>
          <w:numId w:val="0"/>
        </w:numPr>
        <w:jc w:val="both"/>
        <w:rPr>
          <w:rFonts w:hint="eastAsia" w:ascii="宋体" w:cs="宋体"/>
          <w:color w:val="auto"/>
          <w:highlight w:val="none"/>
          <w:lang w:val="en-US" w:eastAsia="zh-CN"/>
        </w:rPr>
      </w:pPr>
    </w:p>
    <w:p w14:paraId="16CF21A2">
      <w:pPr>
        <w:tabs>
          <w:tab w:val="right" w:leader="dot" w:pos="8295"/>
        </w:tabs>
        <w:jc w:val="right"/>
        <w:rPr>
          <w:rFonts w:hint="eastAsia" w:ascii="宋体"/>
          <w:color w:val="auto"/>
          <w:sz w:val="24"/>
          <w:szCs w:val="24"/>
          <w:highlight w:val="none"/>
          <w:lang w:val="en-US" w:eastAsia="zh-CN"/>
        </w:rPr>
      </w:pPr>
    </w:p>
    <w:p w14:paraId="11309143">
      <w:pPr>
        <w:numPr>
          <w:ilvl w:val="0"/>
          <w:numId w:val="0"/>
        </w:numPr>
        <w:jc w:val="both"/>
        <w:rPr>
          <w:rFonts w:hint="eastAsia" w:ascii="宋体" w:cs="宋体"/>
          <w:color w:val="auto"/>
          <w:highlight w:val="none"/>
          <w:lang w:val="en-US" w:eastAsia="zh-CN"/>
        </w:rPr>
      </w:pPr>
    </w:p>
    <w:p w14:paraId="6E442D4D">
      <w:pPr>
        <w:numPr>
          <w:ilvl w:val="0"/>
          <w:numId w:val="0"/>
        </w:numPr>
        <w:jc w:val="both"/>
        <w:rPr>
          <w:rFonts w:hint="eastAsia" w:ascii="宋体" w:cs="宋体"/>
          <w:color w:val="auto"/>
          <w:highlight w:val="none"/>
          <w:lang w:val="en-US" w:eastAsia="zh-CN"/>
        </w:rPr>
      </w:pPr>
    </w:p>
    <w:p w14:paraId="0F21145C">
      <w:pPr>
        <w:numPr>
          <w:ilvl w:val="0"/>
          <w:numId w:val="0"/>
        </w:numPr>
        <w:jc w:val="both"/>
        <w:rPr>
          <w:rFonts w:hint="eastAsia" w:ascii="宋体" w:cs="宋体"/>
          <w:color w:val="auto"/>
          <w:highlight w:val="none"/>
          <w:lang w:val="en-US" w:eastAsia="zh-CN"/>
        </w:rPr>
      </w:pPr>
    </w:p>
    <w:p w14:paraId="51F80A28">
      <w:pPr>
        <w:numPr>
          <w:ilvl w:val="0"/>
          <w:numId w:val="0"/>
        </w:numPr>
        <w:jc w:val="center"/>
        <w:rPr>
          <w:rFonts w:hint="eastAsia" w:ascii="宋体" w:cs="宋体"/>
          <w:color w:val="auto"/>
          <w:highlight w:val="none"/>
          <w:lang w:val="en-US" w:eastAsia="zh-CN"/>
        </w:rPr>
      </w:pPr>
      <w:r>
        <w:rPr>
          <w:rFonts w:hint="eastAsia" w:ascii="宋体" w:cs="宋体"/>
          <w:color w:val="auto"/>
          <w:highlight w:val="none"/>
          <w:lang w:val="en-US" w:eastAsia="zh-CN"/>
        </w:rPr>
        <w:t xml:space="preserve">        </w:t>
      </w:r>
    </w:p>
    <w:p w14:paraId="7ADA34ED">
      <w:pPr>
        <w:numPr>
          <w:ilvl w:val="0"/>
          <w:numId w:val="0"/>
        </w:numPr>
        <w:jc w:val="center"/>
        <w:rPr>
          <w:rFonts w:hint="eastAsia" w:ascii="宋体" w:cs="宋体"/>
          <w:color w:val="auto"/>
          <w:highlight w:val="none"/>
          <w:lang w:val="en-US" w:eastAsia="zh-CN"/>
        </w:rPr>
      </w:pPr>
      <w:r>
        <w:rPr>
          <w:rFonts w:hint="eastAsia" w:ascii="宋体" w:cs="宋体"/>
          <w:color w:val="auto"/>
          <w:highlight w:val="none"/>
          <w:lang w:val="en-US" w:eastAsia="zh-CN"/>
        </w:rPr>
        <w:t xml:space="preserve">                </w:t>
      </w:r>
    </w:p>
    <w:p w14:paraId="60BE3BB8">
      <w:pPr>
        <w:numPr>
          <w:ilvl w:val="0"/>
          <w:numId w:val="0"/>
        </w:numPr>
        <w:jc w:val="center"/>
        <w:rPr>
          <w:rFonts w:hint="default" w:ascii="宋体" w:cs="宋体"/>
          <w:color w:val="auto"/>
          <w:highlight w:val="none"/>
          <w:lang w:val="en-US" w:eastAsia="zh-CN"/>
        </w:rPr>
      </w:pPr>
      <w:r>
        <w:rPr>
          <w:rFonts w:hint="eastAsia" w:ascii="宋体" w:cs="宋体"/>
          <w:color w:val="auto"/>
          <w:highlight w:val="none"/>
          <w:lang w:val="en-US" w:eastAsia="zh-CN"/>
        </w:rPr>
        <w:t xml:space="preserve">                       </w:t>
      </w:r>
      <w:r>
        <w:rPr>
          <w:rFonts w:hint="eastAsia" w:ascii="宋体" w:cs="宋体"/>
          <w:color w:val="auto"/>
          <w:sz w:val="24"/>
          <w:szCs w:val="24"/>
          <w:highlight w:val="none"/>
          <w:lang w:val="en-US" w:eastAsia="zh-CN"/>
        </w:rPr>
        <w:t xml:space="preserve">    </w:t>
      </w:r>
      <w:r>
        <w:rPr>
          <w:rFonts w:hint="eastAsia" w:ascii="宋体" w:cs="宋体"/>
          <w:color w:val="auto"/>
          <w:sz w:val="22"/>
          <w:szCs w:val="22"/>
          <w:highlight w:val="none"/>
          <w:lang w:val="en-US" w:eastAsia="zh-CN"/>
        </w:rPr>
        <w:t>2025年11月20日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0ZGUwYTgxNmM5ZGNlZWM5Njc4MzAwOTVmMmZiNTkifQ=="/>
  </w:docVars>
  <w:rsids>
    <w:rsidRoot w:val="781B2142"/>
    <w:rsid w:val="00EC475B"/>
    <w:rsid w:val="1FC262B7"/>
    <w:rsid w:val="66412D18"/>
    <w:rsid w:val="712D6584"/>
    <w:rsid w:val="781B2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outlineLvl w:val="0"/>
    </w:pPr>
    <w:rPr>
      <w:rFonts w:eastAsia="Times New Roman"/>
      <w:b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iPriority w:val="0"/>
    <w:pPr>
      <w:spacing w:before="50" w:after="50" w:line="400" w:lineRule="exact"/>
    </w:pPr>
    <w:rPr>
      <w:rFonts w:asci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224</Words>
  <Characters>241</Characters>
  <Lines>0</Lines>
  <Paragraphs>0</Paragraphs>
  <TotalTime>1</TotalTime>
  <ScaleCrop>false</ScaleCrop>
  <LinksUpToDate>false</LinksUpToDate>
  <CharactersWithSpaces>293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2025-10-31T00:55:00Z</dcterms:created>
  <dc:creator>Yan</dc:creator>
  <cp:lastModifiedBy>Yan</cp:lastModifiedBy>
  <cp:lastPrinted>2025-11-06T07:58:00Z</cp:lastPrinted>
  <dcterms:modified xsi:type="dcterms:W3CDTF">2025-11-20T07:56:52Z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377F6D76F0D64AA887F7750C3016EC98_11</vt:lpwstr>
  </property>
</Properties>
</file>